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F4" w:rsidRPr="00A357F4" w:rsidRDefault="00A357F4" w:rsidP="00A357F4">
      <w:pPr>
        <w:jc w:val="center"/>
        <w:rPr>
          <w:i/>
        </w:rPr>
      </w:pPr>
    </w:p>
    <w:p w:rsidR="00A357F4" w:rsidRPr="00A357F4" w:rsidRDefault="00A357F4" w:rsidP="00A357F4">
      <w:pPr>
        <w:jc w:val="center"/>
        <w:rPr>
          <w:i/>
        </w:rPr>
      </w:pPr>
      <w:r w:rsidRPr="00A357F4">
        <w:rPr>
          <w:i/>
        </w:rPr>
        <w:t>PART V</w:t>
      </w:r>
    </w:p>
    <w:p w:rsidR="00A357F4" w:rsidRPr="00A357F4" w:rsidRDefault="00A357F4" w:rsidP="00A357F4">
      <w:pPr>
        <w:ind w:left="720"/>
        <w:jc w:val="center"/>
        <w:rPr>
          <w:i/>
        </w:rPr>
      </w:pPr>
      <w:r>
        <w:rPr>
          <w:i/>
        </w:rPr>
        <w:t xml:space="preserve">FLORIDA </w:t>
      </w:r>
      <w:r w:rsidRPr="00A357F4">
        <w:rPr>
          <w:i/>
        </w:rPr>
        <w:t>PROGRAM REVIEW</w:t>
      </w:r>
    </w:p>
    <w:p w:rsidR="00A357F4" w:rsidRPr="00A357F4" w:rsidRDefault="00A357F4" w:rsidP="00A357F4">
      <w:pPr>
        <w:jc w:val="center"/>
      </w:pPr>
      <w:r w:rsidRPr="00A357F4">
        <w:rPr>
          <w:i/>
        </w:rPr>
        <w:t>LIHEAP</w:t>
      </w:r>
      <w:bookmarkStart w:id="0" w:name="_Toc271723852"/>
      <w:bookmarkStart w:id="1" w:name="_Toc274315909"/>
      <w:bookmarkStart w:id="2" w:name="_Toc265067330"/>
    </w:p>
    <w:p w:rsidR="00A357F4" w:rsidRPr="00A357F4" w:rsidRDefault="00A357F4" w:rsidP="00A357F4">
      <w:pPr>
        <w:jc w:val="both"/>
        <w:rPr>
          <w:b/>
        </w:rPr>
      </w:pPr>
      <w:proofErr w:type="gramStart"/>
      <w:r w:rsidRPr="00A357F4">
        <w:rPr>
          <w:b/>
          <w:highlight w:val="yellow"/>
        </w:rPr>
        <w:t>5.1  LIHEAP</w:t>
      </w:r>
      <w:proofErr w:type="gramEnd"/>
      <w:r w:rsidRPr="00A357F4">
        <w:rPr>
          <w:b/>
          <w:highlight w:val="yellow"/>
        </w:rPr>
        <w:t xml:space="preserve"> </w:t>
      </w:r>
      <w:bookmarkEnd w:id="0"/>
      <w:bookmarkEnd w:id="1"/>
      <w:r w:rsidRPr="00A357F4">
        <w:rPr>
          <w:b/>
          <w:highlight w:val="yellow"/>
        </w:rPr>
        <w:t>CLIENT FILE WORKSHEET</w:t>
      </w:r>
    </w:p>
    <w:p w:rsidR="00A357F4" w:rsidRPr="00A357F4" w:rsidRDefault="00A357F4" w:rsidP="00A357F4">
      <w:pPr>
        <w:pStyle w:val="NoSpacing"/>
        <w:rPr>
          <w:b/>
        </w:rPr>
      </w:pPr>
    </w:p>
    <w:tbl>
      <w:tblPr>
        <w:tblW w:w="143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0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A357F4" w:rsidRPr="00A357F4" w:rsidTr="008F1A0C">
        <w:trPr>
          <w:cantSplit/>
          <w:trHeight w:val="260"/>
          <w:tblHeader/>
        </w:trPr>
        <w:tc>
          <w:tcPr>
            <w:tcW w:w="4140" w:type="dxa"/>
            <w:shd w:val="clear" w:color="auto" w:fill="DBE5F1"/>
            <w:noWrap/>
            <w:vAlign w:val="bottom"/>
            <w:hideMark/>
          </w:tcPr>
          <w:p w:rsidR="00A357F4" w:rsidRPr="00A357F4" w:rsidRDefault="00A357F4" w:rsidP="008F1A0C">
            <w:r w:rsidRPr="00A357F4">
              <w:t>Client Last Name</w:t>
            </w:r>
          </w:p>
        </w:tc>
        <w:tc>
          <w:tcPr>
            <w:tcW w:w="1017" w:type="dxa"/>
            <w:shd w:val="clear" w:color="auto" w:fill="DBE5F1"/>
            <w:noWrap/>
            <w:vAlign w:val="bottom"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  <w:noWrap/>
            <w:vAlign w:val="bottom"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  <w:noWrap/>
            <w:vAlign w:val="bottom"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  <w:noWrap/>
            <w:vAlign w:val="bottom"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  <w:noWrap/>
            <w:vAlign w:val="bottom"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  <w:noWrap/>
            <w:vAlign w:val="bottom"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  <w:noWrap/>
            <w:vAlign w:val="bottom"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</w:tcPr>
          <w:p w:rsidR="00A357F4" w:rsidRPr="00A357F4" w:rsidRDefault="00A357F4" w:rsidP="008F1A0C"/>
        </w:tc>
        <w:tc>
          <w:tcPr>
            <w:tcW w:w="1017" w:type="dxa"/>
            <w:shd w:val="clear" w:color="auto" w:fill="DBE5F1"/>
            <w:vAlign w:val="bottom"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315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Employee/Relative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Application Date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Caseworker Name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Application Signature &amp;  Date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Caseworker Signature &amp; Date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Supervisor Approval Date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 xml:space="preserve">Date Vendor Notified (Crisis Resolution Date) 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Life threat resolution date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Priority/Not Priority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Coordinate w/EHEAP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Prior Assistance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# in household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HH member ID doc - all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Income declared - all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Income documented - all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Less than 50%, expense management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Application completely filled out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Income calculation correct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lastRenderedPageBreak/>
              <w:t>HUD Assistance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HH demographics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485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Member TRIBE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1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Vendor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316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r w:rsidRPr="00A357F4">
              <w:t>Actual Bill/Invoice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9"/>
        </w:trPr>
        <w:tc>
          <w:tcPr>
            <w:tcW w:w="4140" w:type="dxa"/>
            <w:noWrap/>
            <w:hideMark/>
          </w:tcPr>
          <w:p w:rsidR="00A357F4" w:rsidRPr="00A357F4" w:rsidRDefault="00A357F4" w:rsidP="008F1A0C">
            <w:pPr>
              <w:spacing w:before="0"/>
            </w:pPr>
            <w:r w:rsidRPr="00A357F4">
              <w:t>Date Vendor Paid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9"/>
        </w:trPr>
        <w:tc>
          <w:tcPr>
            <w:tcW w:w="4140" w:type="dxa"/>
            <w:vMerge w:val="restart"/>
            <w:noWrap/>
            <w:hideMark/>
          </w:tcPr>
          <w:p w:rsidR="00A357F4" w:rsidRPr="00A357F4" w:rsidRDefault="00A357F4" w:rsidP="008F1A0C">
            <w:pPr>
              <w:spacing w:before="0"/>
            </w:pPr>
            <w:r w:rsidRPr="00A357F4">
              <w:t>Amt. Paid:             Crisis</w:t>
            </w:r>
          </w:p>
          <w:p w:rsidR="00A357F4" w:rsidRPr="00A357F4" w:rsidRDefault="00A357F4" w:rsidP="008F1A0C">
            <w:pPr>
              <w:spacing w:before="0"/>
            </w:pPr>
            <w:r w:rsidRPr="00A357F4">
              <w:t xml:space="preserve">                              HE</w:t>
            </w:r>
          </w:p>
          <w:p w:rsidR="00A357F4" w:rsidRPr="00A357F4" w:rsidRDefault="00A357F4" w:rsidP="008F1A0C">
            <w:pPr>
              <w:spacing w:before="0"/>
            </w:pPr>
            <w:r w:rsidRPr="00A357F4">
              <w:t xml:space="preserve">                              WX</w:t>
            </w:r>
          </w:p>
          <w:p w:rsidR="00A357F4" w:rsidRPr="00A357F4" w:rsidRDefault="00A357F4" w:rsidP="008F1A0C">
            <w:pPr>
              <w:spacing w:before="0"/>
            </w:pPr>
            <w:r w:rsidRPr="00A357F4">
              <w:t xml:space="preserve">                              Total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7"/>
        </w:trPr>
        <w:tc>
          <w:tcPr>
            <w:tcW w:w="4140" w:type="dxa"/>
            <w:vMerge/>
            <w:noWrap/>
            <w:hideMark/>
          </w:tcPr>
          <w:p w:rsidR="00A357F4" w:rsidRPr="00A357F4" w:rsidRDefault="00A357F4" w:rsidP="008F1A0C">
            <w:pPr>
              <w:spacing w:before="0"/>
            </w:pP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7"/>
        </w:trPr>
        <w:tc>
          <w:tcPr>
            <w:tcW w:w="4140" w:type="dxa"/>
            <w:vMerge/>
            <w:noWrap/>
            <w:hideMark/>
          </w:tcPr>
          <w:p w:rsidR="00A357F4" w:rsidRPr="00A357F4" w:rsidRDefault="00A357F4" w:rsidP="008F1A0C">
            <w:pPr>
              <w:spacing w:before="0"/>
            </w:pP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7"/>
        </w:trPr>
        <w:tc>
          <w:tcPr>
            <w:tcW w:w="4140" w:type="dxa"/>
            <w:vMerge/>
            <w:noWrap/>
            <w:hideMark/>
          </w:tcPr>
          <w:p w:rsidR="00A357F4" w:rsidRPr="00A357F4" w:rsidRDefault="00A357F4" w:rsidP="008F1A0C">
            <w:pPr>
              <w:spacing w:before="0"/>
            </w:pP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shd w:val="clear" w:color="auto" w:fill="auto"/>
            <w:noWrap/>
            <w:hideMark/>
          </w:tcPr>
          <w:p w:rsidR="00A357F4" w:rsidRPr="00A357F4" w:rsidRDefault="00A357F4" w:rsidP="008F1A0C">
            <w:r w:rsidRPr="00A357F4">
              <w:t>Approval/Denial Letter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</w:tcPr>
          <w:p w:rsidR="00A357F4" w:rsidRPr="00A357F4" w:rsidRDefault="00A357F4" w:rsidP="008F1A0C"/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shd w:val="clear" w:color="auto" w:fill="auto"/>
            <w:noWrap/>
            <w:hideMark/>
          </w:tcPr>
          <w:p w:rsidR="00A357F4" w:rsidRPr="00A357F4" w:rsidRDefault="00A357F4" w:rsidP="008F1A0C">
            <w:r w:rsidRPr="00A357F4">
              <w:t>Denials:</w:t>
            </w:r>
          </w:p>
        </w:tc>
        <w:tc>
          <w:tcPr>
            <w:tcW w:w="1017" w:type="dxa"/>
            <w:shd w:val="clear" w:color="auto" w:fill="17365D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</w:tcPr>
          <w:p w:rsidR="00A357F4" w:rsidRPr="00A357F4" w:rsidRDefault="00A357F4" w:rsidP="008F1A0C"/>
        </w:tc>
        <w:tc>
          <w:tcPr>
            <w:tcW w:w="1017" w:type="dxa"/>
            <w:shd w:val="clear" w:color="auto" w:fill="17365D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A357F4">
            <w:pPr>
              <w:numPr>
                <w:ilvl w:val="0"/>
                <w:numId w:val="2"/>
              </w:numPr>
            </w:pPr>
            <w:r w:rsidRPr="00A357F4">
              <w:t># Days to Denial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A357F4">
            <w:pPr>
              <w:numPr>
                <w:ilvl w:val="0"/>
                <w:numId w:val="2"/>
              </w:numPr>
            </w:pPr>
            <w:r w:rsidRPr="00A357F4">
              <w:t>Notice of Appeal Rights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270"/>
        </w:trPr>
        <w:tc>
          <w:tcPr>
            <w:tcW w:w="4140" w:type="dxa"/>
            <w:noWrap/>
            <w:hideMark/>
          </w:tcPr>
          <w:p w:rsidR="00A357F4" w:rsidRPr="00A357F4" w:rsidRDefault="00A357F4" w:rsidP="00A357F4">
            <w:pPr>
              <w:numPr>
                <w:ilvl w:val="0"/>
                <w:numId w:val="2"/>
              </w:numPr>
            </w:pPr>
            <w:r w:rsidRPr="00A357F4">
              <w:t>Appeal Resolution Documentation</w:t>
            </w:r>
          </w:p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</w:tcPr>
          <w:p w:rsidR="00A357F4" w:rsidRPr="00A357F4" w:rsidRDefault="00A357F4" w:rsidP="008F1A0C"/>
        </w:tc>
        <w:tc>
          <w:tcPr>
            <w:tcW w:w="1017" w:type="dxa"/>
            <w:noWrap/>
            <w:hideMark/>
          </w:tcPr>
          <w:p w:rsidR="00A357F4" w:rsidRPr="00A357F4" w:rsidRDefault="00A357F4" w:rsidP="008F1A0C"/>
        </w:tc>
      </w:tr>
    </w:tbl>
    <w:p w:rsidR="00A357F4" w:rsidRDefault="00A357F4" w:rsidP="00A357F4">
      <w:pPr>
        <w:pStyle w:val="NoSpacing"/>
        <w:rPr>
          <w:b/>
          <w:highlight w:val="yellow"/>
        </w:rPr>
      </w:pPr>
      <w:bookmarkStart w:id="3" w:name="_Toc271723853"/>
      <w:bookmarkStart w:id="4" w:name="_Toc274315910"/>
    </w:p>
    <w:p w:rsidR="00A357F4" w:rsidRPr="00A357F4" w:rsidRDefault="00A357F4" w:rsidP="00A357F4">
      <w:pPr>
        <w:pStyle w:val="NoSpacing"/>
        <w:rPr>
          <w:b/>
          <w:highlight w:val="yellow"/>
        </w:rPr>
      </w:pPr>
      <w:bookmarkStart w:id="5" w:name="_GoBack"/>
      <w:bookmarkEnd w:id="5"/>
    </w:p>
    <w:p w:rsidR="00A357F4" w:rsidRPr="00A357F4" w:rsidRDefault="00A357F4" w:rsidP="00A357F4">
      <w:pPr>
        <w:pStyle w:val="NoSpacing"/>
        <w:rPr>
          <w:b/>
        </w:rPr>
      </w:pPr>
      <w:proofErr w:type="gramStart"/>
      <w:r w:rsidRPr="00A357F4">
        <w:rPr>
          <w:b/>
          <w:highlight w:val="yellow"/>
        </w:rPr>
        <w:t xml:space="preserve">5.2  </w:t>
      </w:r>
      <w:bookmarkEnd w:id="3"/>
      <w:bookmarkEnd w:id="4"/>
      <w:r w:rsidRPr="00A357F4">
        <w:rPr>
          <w:b/>
          <w:highlight w:val="yellow"/>
        </w:rPr>
        <w:t>OVERALL</w:t>
      </w:r>
      <w:proofErr w:type="gramEnd"/>
      <w:r w:rsidRPr="00A357F4">
        <w:rPr>
          <w:b/>
          <w:highlight w:val="yellow"/>
        </w:rPr>
        <w:t xml:space="preserve"> LIHEAP PROGRAM ORGANIZATION AND OPERATION</w:t>
      </w:r>
    </w:p>
    <w:p w:rsidR="00A357F4" w:rsidRPr="00A357F4" w:rsidRDefault="00A357F4" w:rsidP="00A357F4">
      <w:pPr>
        <w:pStyle w:val="NoSpacing"/>
      </w:pPr>
    </w:p>
    <w:p w:rsidR="00A357F4" w:rsidRPr="00A357F4" w:rsidRDefault="00A357F4" w:rsidP="00A357F4">
      <w:pPr>
        <w:pStyle w:val="NoSpacing"/>
      </w:pPr>
    </w:p>
    <w:tbl>
      <w:tblPr>
        <w:tblW w:w="13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5"/>
        <w:gridCol w:w="616"/>
        <w:gridCol w:w="5900"/>
        <w:gridCol w:w="4039"/>
      </w:tblGrid>
      <w:tr w:rsidR="00A357F4" w:rsidRPr="00A357F4" w:rsidTr="008F1A0C">
        <w:trPr>
          <w:tblHeader/>
        </w:trPr>
        <w:tc>
          <w:tcPr>
            <w:tcW w:w="3125" w:type="dxa"/>
            <w:shd w:val="clear" w:color="auto" w:fill="D6E3BC"/>
            <w:vAlign w:val="center"/>
          </w:tcPr>
          <w:p w:rsidR="00A357F4" w:rsidRPr="00A357F4" w:rsidRDefault="00A357F4" w:rsidP="008F1A0C">
            <w:r w:rsidRPr="00A357F4">
              <w:t xml:space="preserve">What should I look for? </w:t>
            </w:r>
          </w:p>
        </w:tc>
        <w:tc>
          <w:tcPr>
            <w:tcW w:w="616" w:type="dxa"/>
            <w:shd w:val="clear" w:color="auto" w:fill="D6E3BC"/>
            <w:vAlign w:val="center"/>
          </w:tcPr>
          <w:p w:rsidR="00A357F4" w:rsidRPr="00A357F4" w:rsidRDefault="00A357F4" w:rsidP="008F1A0C">
            <w:r w:rsidRPr="00A357F4">
              <w:t>Key</w:t>
            </w:r>
          </w:p>
        </w:tc>
        <w:tc>
          <w:tcPr>
            <w:tcW w:w="5900" w:type="dxa"/>
            <w:shd w:val="clear" w:color="auto" w:fill="D6E3BC"/>
            <w:vAlign w:val="center"/>
          </w:tcPr>
          <w:p w:rsidR="00A357F4" w:rsidRPr="00A357F4" w:rsidRDefault="00A357F4" w:rsidP="008F1A0C">
            <w:r w:rsidRPr="00A357F4">
              <w:t>What I found</w:t>
            </w:r>
          </w:p>
        </w:tc>
        <w:tc>
          <w:tcPr>
            <w:tcW w:w="4039" w:type="dxa"/>
            <w:shd w:val="clear" w:color="auto" w:fill="D6E3BC"/>
            <w:vAlign w:val="center"/>
          </w:tcPr>
          <w:p w:rsidR="00A357F4" w:rsidRPr="00A357F4" w:rsidRDefault="00A357F4" w:rsidP="008F1A0C">
            <w:r w:rsidRPr="00A357F4">
              <w:t>Notes</w:t>
            </w:r>
          </w:p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>Grantee has an up-to-date LIHEAP program manual.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The LIHEAP Program Manual was most recently updated in MONTH/YEAR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Documentation indicates that procedures are being consistently applied.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 xml:space="preserve">The LIHEAP program </w:t>
            </w:r>
            <w:r w:rsidRPr="00A357F4">
              <w:lastRenderedPageBreak/>
              <w:t>manual covers the required topics: List any not covered</w:t>
            </w:r>
          </w:p>
          <w:p w:rsidR="00A357F4" w:rsidRPr="00A357F4" w:rsidRDefault="00A357F4" w:rsidP="008F1A0C">
            <w:pPr>
              <w:ind w:left="252"/>
            </w:pPr>
            <w:r w:rsidRPr="00A357F4">
              <w:t xml:space="preserve">(Worksheet, page </w:t>
            </w:r>
            <w:r w:rsidR="00955FFF" w:rsidRPr="00A357F4">
              <w:fldChar w:fldCharType="begin"/>
            </w:r>
            <w:r w:rsidRPr="00A357F4">
              <w:instrText xml:space="preserve"> PAGEREF _Ref267993988 \h </w:instrText>
            </w:r>
            <w:r w:rsidR="00955FFF" w:rsidRPr="00A357F4">
              <w:fldChar w:fldCharType="separate"/>
            </w:r>
            <w:r w:rsidRPr="00A357F4">
              <w:rPr>
                <w:noProof/>
              </w:rPr>
              <w:t>19</w:t>
            </w:r>
            <w:r w:rsidR="00955FFF" w:rsidRPr="00A357F4">
              <w:fldChar w:fldCharType="end"/>
            </w:r>
            <w:r w:rsidRPr="00A357F4">
              <w:t>)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/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/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/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/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/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/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8F1A0C">
            <w:r w:rsidRPr="00A357F4">
              <w:t>c. Required LIHEAP Application and Client File Documentation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pPr>
              <w:jc w:val="center"/>
              <w:rPr>
                <w:b/>
              </w:rPr>
            </w:pPr>
            <w:r w:rsidRPr="00A357F4">
              <w:rPr>
                <w:b/>
              </w:rPr>
              <w:t>APPLICATION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Client's name, address, sex, age;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HH member names, ages, relationship to applicant, ID documentation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Copies of Social Security cards or documentation with Social Security Card numbers for all HH members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Income of all HH members stated on application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Signatures of: Applicant, Intake Worker, Review Staff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Signature Dates of: Applicant, Intake Worker, Review Staff and Supervisor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rPr>
                <w:u w:val="single"/>
              </w:rPr>
              <w:t>Assistance provided to applicants age 60 or older:</w:t>
            </w:r>
            <w:r w:rsidRPr="00A357F4">
              <w:t xml:space="preserve"> Verification/notation of coordination with EHEAP provider to prevent duplication of crisis assistance between the EHEAP and LIHEAP programs. 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pPr>
              <w:rPr>
                <w:u w:val="single"/>
              </w:rPr>
            </w:pPr>
            <w:r w:rsidRPr="00A357F4">
              <w:t>Verification that crisis was resolved within 48 hours (Name of vendor contact person, date and time)</w:t>
            </w:r>
          </w:p>
        </w:tc>
        <w:tc>
          <w:tcPr>
            <w:tcW w:w="4039" w:type="dxa"/>
          </w:tcPr>
          <w:p w:rsidR="00A357F4" w:rsidRPr="00A357F4" w:rsidRDefault="00A357F4" w:rsidP="008F1A0C">
            <w:pPr>
              <w:ind w:left="3003" w:hanging="3003"/>
            </w:pPr>
          </w:p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pPr>
              <w:jc w:val="center"/>
            </w:pPr>
            <w:r w:rsidRPr="00A357F4">
              <w:rPr>
                <w:b/>
              </w:rPr>
              <w:t>DOCUMENTATION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Income documentation for all HH members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Documentation of disability, if applicable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Statement of how living expenses are being met (income under 50% poverty; no Food Stamps), if applicable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 xml:space="preserve">Self-declaration of income (If no income documentation can be provided) 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Documentation of energy payment obligation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pPr>
              <w:spacing w:before="0"/>
            </w:pPr>
            <w:r w:rsidRPr="00A357F4">
              <w:t>Total HHS Income Verification for Eligibility</w:t>
            </w:r>
          </w:p>
          <w:p w:rsidR="00A357F4" w:rsidRPr="00A357F4" w:rsidRDefault="00A357F4" w:rsidP="008F1A0C">
            <w:pPr>
              <w:spacing w:before="0"/>
            </w:pPr>
            <w:r w:rsidRPr="00A357F4">
              <w:t>(calculations must agree with agency’s written policies)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pPr>
              <w:spacing w:before="0"/>
            </w:pPr>
            <w:r w:rsidRPr="00A357F4">
              <w:t>Comprehensive record of services provided:</w:t>
            </w:r>
          </w:p>
          <w:p w:rsidR="00A357F4" w:rsidRPr="00A357F4" w:rsidRDefault="00A357F4" w:rsidP="008F1A0C">
            <w:pPr>
              <w:spacing w:before="0"/>
            </w:pPr>
            <w:r w:rsidRPr="00A357F4">
              <w:t>Date of Service, Type of Benefit (HE, Crisis, WX Related, Other) Benefit Amount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Copies of approval or denial letters including appeal procedure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>Results of file analysis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LIHEAP assistance files reflect consistent documentation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LIHEAP assistance files reflect consistent organization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LIHEAP assistance expenses tie consistently to the General Ledger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 xml:space="preserve">Grantee has a public outreach program </w:t>
            </w:r>
          </w:p>
          <w:p w:rsidR="00A357F4" w:rsidRPr="00A357F4" w:rsidRDefault="00A357F4" w:rsidP="008F1A0C">
            <w:pPr>
              <w:ind w:left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DESCRIBE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>Program notices posted in all intake locations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Grantee posts signs stating “No money accepted for services”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Grantee posts current program appeals process in client intake areas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684"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>Grantee has a policy for providing fair administrative hearings to clients whose claims for LIHEAP have been denied or not acted upon with reasonable promptness.</w:t>
            </w:r>
          </w:p>
          <w:p w:rsidR="00A357F4" w:rsidRPr="00A357F4" w:rsidRDefault="00A357F4" w:rsidP="008F1A0C">
            <w:pPr>
              <w:ind w:left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The Grantee implements this policy by: (DESCRIBE)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684"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The Grantee documents appeals and follows-up in a timely manner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684"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/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684"/>
        </w:trPr>
        <w:tc>
          <w:tcPr>
            <w:tcW w:w="3125" w:type="dxa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lastRenderedPageBreak/>
              <w:t xml:space="preserve">Grantee has written policy regarding the security of client files and related documentation containing client Social Security Numbers 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 xml:space="preserve">The Grantee implements this policy by: (DESCRIBE) 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612"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 xml:space="preserve">Grantee has active client referral program to refer clients to Weatherization Services. </w:t>
            </w:r>
          </w:p>
        </w:tc>
        <w:tc>
          <w:tcPr>
            <w:tcW w:w="616" w:type="dxa"/>
            <w:vMerge w:val="restart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Grantee documents referrals</w:t>
            </w:r>
          </w:p>
          <w:p w:rsidR="00A357F4" w:rsidRPr="00A357F4" w:rsidRDefault="00A357F4" w:rsidP="008F1A0C"/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  <w:trHeight w:val="612"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  <w:vMerge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Grantee has written policy for referral program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>Client confidentiality and service access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Client confidentiality during intake adequately assured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Intake locations meet ADA access guidelines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Applications available in languages other than English appropriate for eligible populations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>Grantee regularly trains intake workers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 xml:space="preserve">Grantee most recently provided training to all LIHEAP intake workers on DATE </w:t>
            </w:r>
            <w:r w:rsidRPr="00A357F4">
              <w:rPr>
                <w:u w:val="single"/>
              </w:rPr>
              <w:t xml:space="preserve">   /   /   </w:t>
            </w:r>
            <w:r w:rsidRPr="00A357F4">
              <w:t xml:space="preserve"> 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Grantee trains individual new intake worker hires: DESCRIBE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>Internal monitoring process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Grantee has program management systems that ensure compliant LIHEAP program operation.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Conducted at all intake locations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Documented: written data collection, reporting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Recipients of multiple instances of the same assistance did so within the grantee’s timing guideline (twice a year; every 90 days; etc)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Grantee has not awarded identical assistance to multiple members of the same household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 xml:space="preserve">Program staff regularly conduct this form of analysis every                   </w:t>
            </w:r>
            <w:r w:rsidRPr="00A357F4">
              <w:br/>
            </w:r>
            <w:r w:rsidRPr="00A357F4">
              <w:rPr>
                <w:u w:val="single"/>
              </w:rPr>
              <w:tab/>
              <w:t xml:space="preserve"> </w:t>
            </w:r>
            <w:r w:rsidRPr="00A357F4">
              <w:t xml:space="preserve"> month/quarter to maintain compliance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lastRenderedPageBreak/>
              <w:t>Feedback and corrective action to achieve: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Uniformity of practice and understanding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Compliance with contracts, regulations, policy manuals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A357F4">
            <w:pPr>
              <w:numPr>
                <w:ilvl w:val="0"/>
                <w:numId w:val="1"/>
              </w:numPr>
              <w:ind w:left="252" w:hanging="252"/>
            </w:pPr>
            <w:r w:rsidRPr="00A357F4">
              <w:t>Grantee holds regular LIHEAP staff meetings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Describe how and how often LIHEAP staff meet to monitor progress and to improve program performance: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8F1A0C"/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</w:tcPr>
          <w:p w:rsidR="00A357F4" w:rsidRPr="00A357F4" w:rsidRDefault="00A357F4" w:rsidP="008F1A0C">
            <w:r w:rsidRPr="00A357F4">
              <w:t>LIHEAP program staff use work plans and quarterly reports to monitor outcome achievement goals.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 w:val="restart"/>
          </w:tcPr>
          <w:p w:rsidR="00A357F4" w:rsidRPr="00A357F4" w:rsidRDefault="00A357F4" w:rsidP="008F1A0C">
            <w:r w:rsidRPr="00A357F4">
              <w:t xml:space="preserve">o.  </w:t>
            </w:r>
            <w:proofErr w:type="spellStart"/>
            <w:r w:rsidRPr="00A357F4">
              <w:t>Subrecipients</w:t>
            </w:r>
            <w:proofErr w:type="spellEnd"/>
            <w:r w:rsidRPr="00A357F4">
              <w:t xml:space="preserve"> – Does the Grantee have:</w:t>
            </w:r>
          </w:p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  <w:vAlign w:val="bottom"/>
          </w:tcPr>
          <w:p w:rsidR="00A357F4" w:rsidRPr="00A357F4" w:rsidRDefault="00A357F4" w:rsidP="008F1A0C">
            <w:r w:rsidRPr="00A357F4">
              <w:t xml:space="preserve">Internal monitoring process for all </w:t>
            </w:r>
            <w:proofErr w:type="spellStart"/>
            <w:r w:rsidRPr="00A357F4">
              <w:t>subrecipients</w:t>
            </w:r>
            <w:proofErr w:type="spellEnd"/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8F1A0C"/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  <w:vAlign w:val="bottom"/>
          </w:tcPr>
          <w:p w:rsidR="00A357F4" w:rsidRPr="00A357F4" w:rsidRDefault="00A357F4" w:rsidP="008F1A0C">
            <w:r w:rsidRPr="00A357F4">
              <w:t xml:space="preserve">When </w:t>
            </w:r>
            <w:proofErr w:type="gramStart"/>
            <w:r w:rsidRPr="00A357F4">
              <w:t>was the last monitoring</w:t>
            </w:r>
            <w:proofErr w:type="gramEnd"/>
            <w:r w:rsidRPr="00A357F4">
              <w:t xml:space="preserve"> completed?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8F1A0C"/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  <w:vAlign w:val="bottom"/>
          </w:tcPr>
          <w:p w:rsidR="00A357F4" w:rsidRPr="00A357F4" w:rsidRDefault="00A357F4" w:rsidP="008F1A0C">
            <w:r w:rsidRPr="00A357F4">
              <w:t>Copy of the report attached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  <w:tr w:rsidR="00A357F4" w:rsidRPr="00A357F4" w:rsidTr="008F1A0C">
        <w:trPr>
          <w:cantSplit/>
        </w:trPr>
        <w:tc>
          <w:tcPr>
            <w:tcW w:w="3125" w:type="dxa"/>
            <w:vMerge/>
          </w:tcPr>
          <w:p w:rsidR="00A357F4" w:rsidRPr="00A357F4" w:rsidRDefault="00A357F4" w:rsidP="008F1A0C"/>
        </w:tc>
        <w:tc>
          <w:tcPr>
            <w:tcW w:w="616" w:type="dxa"/>
          </w:tcPr>
          <w:p w:rsidR="00A357F4" w:rsidRPr="00A357F4" w:rsidRDefault="00A357F4" w:rsidP="008F1A0C"/>
        </w:tc>
        <w:tc>
          <w:tcPr>
            <w:tcW w:w="5900" w:type="dxa"/>
            <w:vAlign w:val="bottom"/>
          </w:tcPr>
          <w:p w:rsidR="00A357F4" w:rsidRPr="00A357F4" w:rsidRDefault="00A357F4" w:rsidP="008F1A0C">
            <w:r w:rsidRPr="00A357F4">
              <w:t xml:space="preserve">Copy of the current </w:t>
            </w:r>
            <w:proofErr w:type="spellStart"/>
            <w:r w:rsidRPr="00A357F4">
              <w:t>subrecipient</w:t>
            </w:r>
            <w:proofErr w:type="spellEnd"/>
            <w:r w:rsidRPr="00A357F4">
              <w:t xml:space="preserve"> agreement attached</w:t>
            </w:r>
          </w:p>
        </w:tc>
        <w:tc>
          <w:tcPr>
            <w:tcW w:w="4039" w:type="dxa"/>
          </w:tcPr>
          <w:p w:rsidR="00A357F4" w:rsidRPr="00A357F4" w:rsidRDefault="00A357F4" w:rsidP="008F1A0C"/>
        </w:tc>
      </w:tr>
    </w:tbl>
    <w:p w:rsidR="00A357F4" w:rsidRPr="00A357F4" w:rsidRDefault="00A357F4" w:rsidP="00A357F4"/>
    <w:bookmarkEnd w:id="2"/>
    <w:p w:rsidR="00A357F4" w:rsidRPr="00A357F4" w:rsidRDefault="00A357F4" w:rsidP="00A357F4"/>
    <w:p w:rsidR="00A357F4" w:rsidRPr="00A357F4" w:rsidRDefault="00A357F4" w:rsidP="00A357F4"/>
    <w:p w:rsidR="00802C77" w:rsidRPr="00A357F4" w:rsidRDefault="00802C77"/>
    <w:sectPr w:rsidR="00802C77" w:rsidRPr="00A357F4" w:rsidSect="007A2425">
      <w:headerReference w:type="even" r:id="rId7"/>
      <w:headerReference w:type="default" r:id="rId8"/>
      <w:headerReference w:type="first" r:id="rId9"/>
      <w:pgSz w:w="15840" w:h="12240" w:orient="landscape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9F" w:rsidRDefault="00493C9F" w:rsidP="00955FFF">
      <w:pPr>
        <w:spacing w:before="0"/>
      </w:pPr>
      <w:r>
        <w:separator/>
      </w:r>
    </w:p>
  </w:endnote>
  <w:endnote w:type="continuationSeparator" w:id="0">
    <w:p w:rsidR="00493C9F" w:rsidRDefault="00493C9F" w:rsidP="00955FF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9F" w:rsidRDefault="00493C9F" w:rsidP="00955FFF">
      <w:pPr>
        <w:spacing w:before="0"/>
      </w:pPr>
      <w:r>
        <w:separator/>
      </w:r>
    </w:p>
  </w:footnote>
  <w:footnote w:type="continuationSeparator" w:id="0">
    <w:p w:rsidR="00493C9F" w:rsidRDefault="00493C9F" w:rsidP="00955FF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48" w:rsidRPr="009C3F0A" w:rsidRDefault="00493C9F" w:rsidP="006419FD">
    <w:pPr>
      <w:pStyle w:val="Header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48" w:rsidRPr="009C3F0A" w:rsidRDefault="00493C9F" w:rsidP="00ED58F9">
    <w:pPr>
      <w:pStyle w:val="Header"/>
      <w:rPr>
        <w:sz w:val="23"/>
        <w:szCs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48" w:rsidRPr="009C3F0A" w:rsidRDefault="00493C9F" w:rsidP="006419FD">
    <w:pPr>
      <w:pStyle w:val="Header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93C"/>
    <w:multiLevelType w:val="hybridMultilevel"/>
    <w:tmpl w:val="ECA888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5699"/>
    <w:multiLevelType w:val="hybridMultilevel"/>
    <w:tmpl w:val="C3CAB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7F4"/>
    <w:rsid w:val="00215E9E"/>
    <w:rsid w:val="00383F8F"/>
    <w:rsid w:val="00493C9F"/>
    <w:rsid w:val="00802C77"/>
    <w:rsid w:val="00955FFF"/>
    <w:rsid w:val="009973C8"/>
    <w:rsid w:val="00A3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F4"/>
    <w:pPr>
      <w:spacing w:before="120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7F4"/>
    <w:pPr>
      <w:spacing w:before="240" w:after="120"/>
      <w:ind w:left="360" w:hanging="360"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57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357F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357F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57F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F4"/>
    <w:pPr>
      <w:spacing w:before="120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7F4"/>
    <w:pPr>
      <w:spacing w:before="240" w:after="120"/>
      <w:ind w:left="360" w:hanging="360"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57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357F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357F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57F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Joslin</dc:creator>
  <cp:keywords/>
  <dc:description/>
  <cp:lastModifiedBy>travism</cp:lastModifiedBy>
  <cp:revision>2</cp:revision>
  <dcterms:created xsi:type="dcterms:W3CDTF">2013-07-30T19:44:00Z</dcterms:created>
  <dcterms:modified xsi:type="dcterms:W3CDTF">2013-07-30T19:44:00Z</dcterms:modified>
</cp:coreProperties>
</file>